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4" w:rsidRDefault="00383804" w:rsidP="00383804">
      <w:pPr>
        <w:pStyle w:val="Default"/>
      </w:pPr>
    </w:p>
    <w:p w:rsidR="00383804" w:rsidRDefault="00383804" w:rsidP="00383804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383804" w:rsidRDefault="00383804" w:rsidP="0038380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MARCH 23, 2010 </w:t>
      </w:r>
    </w:p>
    <w:p w:rsidR="00383804" w:rsidRDefault="00383804" w:rsidP="0038380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383804" w:rsidRDefault="00383804" w:rsidP="0038380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383804" w:rsidRDefault="00383804" w:rsidP="0038380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Kirk E. Miller, Chair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Stanley </w:t>
      </w:r>
      <w:proofErr w:type="spellStart"/>
      <w:r>
        <w:rPr>
          <w:sz w:val="23"/>
          <w:szCs w:val="23"/>
        </w:rPr>
        <w:t>Schiffman</w:t>
      </w:r>
      <w:proofErr w:type="spellEnd"/>
      <w:r>
        <w:rPr>
          <w:sz w:val="23"/>
          <w:szCs w:val="23"/>
        </w:rPr>
        <w:t xml:space="preserve"> </w:t>
      </w:r>
    </w:p>
    <w:p w:rsidR="00383804" w:rsidRDefault="00383804" w:rsidP="00383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4:30 P.M.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 xml:space="preserve">4:30 P.M.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383804" w:rsidRDefault="00383804" w:rsidP="00383804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JANUARY 2010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REVIEW OF FINANCIAL PERFORMANCE AND CASH FLOW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PROJECTION THROUGH MARCH, FISCAL YEAR 2009-10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Vice-President, Finance </w:t>
      </w:r>
      <w:r>
        <w:rPr>
          <w:b/>
          <w:bCs/>
          <w:sz w:val="23"/>
          <w:szCs w:val="23"/>
        </w:rPr>
        <w:t xml:space="preserve">4:30 – 4:50 P.M. </w:t>
      </w: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REVIEW OF KEY FINANCIAL ASSUMPTIONS AND CHALLENGES </w:t>
      </w:r>
    </w:p>
    <w:p w:rsidR="00383804" w:rsidRDefault="00383804" w:rsidP="00383804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 FISCAL YEAR 2010-2011 BUDGET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Vice-President, Finance </w:t>
      </w:r>
      <w:r>
        <w:rPr>
          <w:b/>
          <w:bCs/>
          <w:sz w:val="23"/>
          <w:szCs w:val="23"/>
        </w:rPr>
        <w:t xml:space="preserve">4:50 – 5:15 P.M. </w:t>
      </w: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UPDATE ON FINANCIAL AUDIT RECOMMENDATIONS AND </w:t>
      </w:r>
    </w:p>
    <w:p w:rsidR="00383804" w:rsidRDefault="00383804" w:rsidP="00383804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INTERNAL AUDIT PROJECTS </w:t>
      </w:r>
    </w:p>
    <w:p w:rsidR="00383804" w:rsidRDefault="00383804" w:rsidP="00383804">
      <w:pPr>
        <w:pStyle w:val="Default"/>
        <w:ind w:left="2340" w:hanging="198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Vice-President, Finance </w:t>
      </w:r>
      <w:r>
        <w:rPr>
          <w:b/>
          <w:bCs/>
          <w:sz w:val="23"/>
          <w:szCs w:val="23"/>
        </w:rPr>
        <w:t xml:space="preserve">5:15 – 5:30 P.M </w:t>
      </w:r>
    </w:p>
    <w:p w:rsidR="00383804" w:rsidRDefault="00383804" w:rsidP="00383804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Gordon McKinney, Director Internal Audit &amp; Compliance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5. UPDATE ON SELECTION OF EXTERNAL FINANCIAL AUDIT FIRM </w:t>
      </w:r>
      <w:proofErr w:type="gramEnd"/>
    </w:p>
    <w:p w:rsidR="00383804" w:rsidRDefault="00383804" w:rsidP="00383804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Vice-President, Finance </w:t>
      </w:r>
      <w:r>
        <w:rPr>
          <w:b/>
          <w:bCs/>
          <w:sz w:val="23"/>
          <w:szCs w:val="23"/>
        </w:rPr>
        <w:t xml:space="preserve">5:30 – 5:40 P.M. </w:t>
      </w:r>
    </w:p>
    <w:p w:rsidR="00383804" w:rsidRDefault="00383804" w:rsidP="00383804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Finance Committee Meeting of March 23, 2010 </w:t>
      </w:r>
      <w:r>
        <w:rPr>
          <w:rFonts w:ascii="Garamond" w:hAnsi="Garamond" w:cs="Garamond"/>
          <w:sz w:val="23"/>
          <w:szCs w:val="23"/>
        </w:rPr>
        <w:t xml:space="preserve">Page 2 of 3 </w:t>
      </w:r>
    </w:p>
    <w:p w:rsidR="00383804" w:rsidRDefault="00383804" w:rsidP="00383804">
      <w:pPr>
        <w:pStyle w:val="Default"/>
        <w:pageBreakBefore/>
        <w:rPr>
          <w:rFonts w:ascii="Garamond" w:hAnsi="Garamond" w:cs="Garamond"/>
          <w:sz w:val="23"/>
          <w:szCs w:val="23"/>
        </w:rPr>
      </w:pP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OVERVIEW OF PHYSICIAN CONTRACTING PROCESS </w:t>
      </w:r>
    </w:p>
    <w:p w:rsidR="00383804" w:rsidRDefault="00383804" w:rsidP="00383804">
      <w:pPr>
        <w:pStyle w:val="Default"/>
        <w:ind w:left="34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  <w:r>
        <w:rPr>
          <w:b/>
          <w:bCs/>
          <w:sz w:val="23"/>
          <w:szCs w:val="23"/>
        </w:rPr>
        <w:t xml:space="preserve">5:40 – 6:00 P.M.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AUTHORIZATION FOR CEO TO EXECUTE THE FOLLOWING CONTRACTS: 6:00 – 6:30 P.M.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b/>
          <w:bCs/>
          <w:sz w:val="23"/>
          <w:szCs w:val="23"/>
        </w:rPr>
        <w:t xml:space="preserve">One year renewal contracts with Federico Castro-Moure, M.D. and </w:t>
      </w:r>
      <w:proofErr w:type="spellStart"/>
      <w:r>
        <w:rPr>
          <w:b/>
          <w:bCs/>
          <w:sz w:val="23"/>
          <w:szCs w:val="23"/>
        </w:rPr>
        <w:t>Atul</w:t>
      </w:r>
      <w:proofErr w:type="spellEnd"/>
      <w:r>
        <w:rPr>
          <w:b/>
          <w:bCs/>
          <w:sz w:val="23"/>
          <w:szCs w:val="23"/>
        </w:rPr>
        <w:t xml:space="preserve"> Patel, M.D. for the provision of professional neurosurgery services </w:t>
      </w:r>
    </w:p>
    <w:p w:rsidR="00383804" w:rsidRDefault="00383804" w:rsidP="00383804">
      <w:pPr>
        <w:pStyle w:val="Default"/>
        <w:ind w:left="78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r>
        <w:rPr>
          <w:b/>
          <w:bCs/>
          <w:sz w:val="23"/>
          <w:szCs w:val="23"/>
        </w:rPr>
        <w:t xml:space="preserve">Two year renewal contract with Nighthawk Radiology Services, LLC for the provision of evening and night </w:t>
      </w:r>
      <w:proofErr w:type="spellStart"/>
      <w:r>
        <w:rPr>
          <w:b/>
          <w:bCs/>
          <w:sz w:val="23"/>
          <w:szCs w:val="23"/>
        </w:rPr>
        <w:t>teleradiology</w:t>
      </w:r>
      <w:proofErr w:type="spellEnd"/>
      <w:r>
        <w:rPr>
          <w:b/>
          <w:bCs/>
          <w:sz w:val="23"/>
          <w:szCs w:val="23"/>
        </w:rPr>
        <w:t xml:space="preserve"> services </w:t>
      </w:r>
    </w:p>
    <w:p w:rsidR="00383804" w:rsidRDefault="00383804" w:rsidP="00383804">
      <w:pPr>
        <w:pStyle w:val="Default"/>
        <w:ind w:left="78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r>
        <w:rPr>
          <w:b/>
          <w:bCs/>
          <w:sz w:val="23"/>
          <w:szCs w:val="23"/>
        </w:rPr>
        <w:t xml:space="preserve">Three year renewal contracts with Thurman Hunt M.D., </w:t>
      </w:r>
      <w:proofErr w:type="spellStart"/>
      <w:r>
        <w:rPr>
          <w:b/>
          <w:bCs/>
          <w:sz w:val="23"/>
          <w:szCs w:val="23"/>
        </w:rPr>
        <w:t>Uday</w:t>
      </w:r>
      <w:proofErr w:type="spellEnd"/>
      <w:r>
        <w:rPr>
          <w:b/>
          <w:bCs/>
          <w:sz w:val="23"/>
          <w:szCs w:val="23"/>
        </w:rPr>
        <w:t xml:space="preserve"> Jain M.D., Ernestine Petty M.D., Francesco </w:t>
      </w:r>
      <w:proofErr w:type="spellStart"/>
      <w:r>
        <w:rPr>
          <w:b/>
          <w:bCs/>
          <w:sz w:val="23"/>
          <w:szCs w:val="23"/>
        </w:rPr>
        <w:t>Isolani</w:t>
      </w:r>
      <w:proofErr w:type="spellEnd"/>
      <w:r>
        <w:rPr>
          <w:b/>
          <w:bCs/>
          <w:sz w:val="23"/>
          <w:szCs w:val="23"/>
        </w:rPr>
        <w:t xml:space="preserve"> M.D., Ram Reddy M.D., Anesthesia One Medical Group (Roger Proctor M.D.), Morpheus Enterprises, LTD (</w:t>
      </w:r>
      <w:proofErr w:type="spellStart"/>
      <w:r>
        <w:rPr>
          <w:b/>
          <w:bCs/>
          <w:sz w:val="23"/>
          <w:szCs w:val="23"/>
        </w:rPr>
        <w:t>Starla</w:t>
      </w:r>
      <w:proofErr w:type="spellEnd"/>
      <w:r>
        <w:rPr>
          <w:b/>
          <w:bCs/>
          <w:sz w:val="23"/>
          <w:szCs w:val="23"/>
        </w:rPr>
        <w:t xml:space="preserve"> Stills M.D.), and General Anesthesia Services (</w:t>
      </w:r>
      <w:proofErr w:type="spellStart"/>
      <w:r>
        <w:rPr>
          <w:b/>
          <w:bCs/>
          <w:sz w:val="23"/>
          <w:szCs w:val="23"/>
        </w:rPr>
        <w:t>Janey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Kunkle</w:t>
      </w:r>
      <w:proofErr w:type="spellEnd"/>
      <w:r>
        <w:rPr>
          <w:b/>
          <w:bCs/>
          <w:sz w:val="23"/>
          <w:szCs w:val="23"/>
        </w:rPr>
        <w:t xml:space="preserve"> M.D.) for the provision of professional anesthesiology services </w:t>
      </w:r>
    </w:p>
    <w:p w:rsidR="00383804" w:rsidRDefault="00383804" w:rsidP="0038380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r>
        <w:rPr>
          <w:b/>
          <w:bCs/>
          <w:sz w:val="23"/>
          <w:szCs w:val="23"/>
        </w:rPr>
        <w:t xml:space="preserve">Three year renewal contract with Traditions Psychology Group, Inc., </w:t>
      </w:r>
      <w:proofErr w:type="spellStart"/>
      <w:r>
        <w:rPr>
          <w:b/>
          <w:bCs/>
          <w:sz w:val="23"/>
          <w:szCs w:val="23"/>
        </w:rPr>
        <w:t>dba</w:t>
      </w:r>
      <w:proofErr w:type="spellEnd"/>
      <w:r>
        <w:rPr>
          <w:b/>
          <w:bCs/>
          <w:sz w:val="23"/>
          <w:szCs w:val="23"/>
        </w:rPr>
        <w:t xml:space="preserve"> Traditions Behavioral Health for the provision of professional psychiatry services </w:t>
      </w:r>
    </w:p>
    <w:p w:rsidR="00383804" w:rsidRDefault="00383804" w:rsidP="00383804">
      <w:pPr>
        <w:pStyle w:val="Default"/>
        <w:ind w:left="78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e. </w:t>
      </w:r>
      <w:r>
        <w:rPr>
          <w:b/>
          <w:bCs/>
          <w:sz w:val="23"/>
          <w:szCs w:val="23"/>
        </w:rPr>
        <w:t xml:space="preserve">Amendment of current contract and three year renewal contract with Richard </w:t>
      </w:r>
      <w:proofErr w:type="spellStart"/>
      <w:r>
        <w:rPr>
          <w:b/>
          <w:bCs/>
          <w:sz w:val="23"/>
          <w:szCs w:val="23"/>
        </w:rPr>
        <w:t>Imes</w:t>
      </w:r>
      <w:proofErr w:type="spellEnd"/>
      <w:r>
        <w:rPr>
          <w:b/>
          <w:bCs/>
          <w:sz w:val="23"/>
          <w:szCs w:val="23"/>
        </w:rPr>
        <w:t xml:space="preserve"> M.D., for the provision of professional ophthalmology services </w:t>
      </w:r>
    </w:p>
    <w:p w:rsidR="00383804" w:rsidRDefault="00383804" w:rsidP="00383804">
      <w:pPr>
        <w:pStyle w:val="Default"/>
        <w:ind w:left="78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f. </w:t>
      </w:r>
      <w:r>
        <w:rPr>
          <w:b/>
          <w:bCs/>
          <w:sz w:val="23"/>
          <w:szCs w:val="23"/>
        </w:rPr>
        <w:t xml:space="preserve">Three year renewal contract with University of the Pacific, Arthur A. </w:t>
      </w:r>
      <w:proofErr w:type="spellStart"/>
      <w:r>
        <w:rPr>
          <w:b/>
          <w:bCs/>
          <w:sz w:val="23"/>
          <w:szCs w:val="23"/>
        </w:rPr>
        <w:t>Dugoni</w:t>
      </w:r>
      <w:proofErr w:type="spellEnd"/>
      <w:r>
        <w:rPr>
          <w:b/>
          <w:bCs/>
          <w:sz w:val="23"/>
          <w:szCs w:val="23"/>
        </w:rPr>
        <w:t xml:space="preserve"> School of Dentistry for the provision of professional oral maxillofacial services and clinical training </w:t>
      </w:r>
    </w:p>
    <w:p w:rsidR="00383804" w:rsidRDefault="00383804" w:rsidP="00383804">
      <w:pPr>
        <w:pStyle w:val="Default"/>
        <w:ind w:left="78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g. </w:t>
      </w:r>
      <w:r>
        <w:rPr>
          <w:b/>
          <w:bCs/>
          <w:sz w:val="23"/>
          <w:szCs w:val="23"/>
        </w:rPr>
        <w:t xml:space="preserve">Three year renewal contract with Health Diagnostics for the provision of professional </w:t>
      </w:r>
      <w:proofErr w:type="spellStart"/>
      <w:r>
        <w:rPr>
          <w:b/>
          <w:bCs/>
          <w:sz w:val="23"/>
          <w:szCs w:val="23"/>
        </w:rPr>
        <w:t>sonography</w:t>
      </w:r>
      <w:proofErr w:type="spellEnd"/>
      <w:r>
        <w:rPr>
          <w:b/>
          <w:bCs/>
          <w:sz w:val="23"/>
          <w:szCs w:val="23"/>
        </w:rPr>
        <w:t xml:space="preserve"> imaging services </w:t>
      </w:r>
    </w:p>
    <w:p w:rsidR="00383804" w:rsidRDefault="00383804" w:rsidP="00383804">
      <w:pPr>
        <w:pStyle w:val="Default"/>
        <w:ind w:left="78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h. </w:t>
      </w:r>
      <w:r>
        <w:rPr>
          <w:b/>
          <w:bCs/>
          <w:sz w:val="23"/>
          <w:szCs w:val="23"/>
        </w:rPr>
        <w:t xml:space="preserve">One year renewal contract with Spheris Operations, Inc. for the provision of medical transcription services </w:t>
      </w:r>
    </w:p>
    <w:p w:rsidR="00383804" w:rsidRDefault="00383804" w:rsidP="00383804">
      <w:pPr>
        <w:pStyle w:val="Default"/>
        <w:ind w:left="2340" w:hanging="1620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Jeanette </w:t>
      </w:r>
      <w:proofErr w:type="spellStart"/>
      <w:r>
        <w:rPr>
          <w:i/>
          <w:iCs/>
          <w:sz w:val="23"/>
          <w:szCs w:val="23"/>
        </w:rPr>
        <w:t>Cotanche</w:t>
      </w:r>
      <w:proofErr w:type="spellEnd"/>
      <w:r>
        <w:rPr>
          <w:i/>
          <w:iCs/>
          <w:sz w:val="23"/>
          <w:szCs w:val="23"/>
        </w:rPr>
        <w:t xml:space="preserve">, Chief Quality and Compliance Officer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AUTHORIZATION FOR CEO TO EXECUTE THE FOLLOWING CAPITAL CONTRACT: 6:30 – 6:35 P.M. </w:t>
      </w:r>
    </w:p>
    <w:p w:rsidR="00383804" w:rsidRDefault="00383804" w:rsidP="0038380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b/>
          <w:bCs/>
          <w:sz w:val="23"/>
          <w:szCs w:val="23"/>
        </w:rPr>
        <w:t xml:space="preserve">Contract with </w:t>
      </w:r>
      <w:proofErr w:type="spellStart"/>
      <w:r>
        <w:rPr>
          <w:b/>
          <w:bCs/>
          <w:sz w:val="23"/>
          <w:szCs w:val="23"/>
        </w:rPr>
        <w:t>Swinerton</w:t>
      </w:r>
      <w:proofErr w:type="spellEnd"/>
      <w:r>
        <w:rPr>
          <w:b/>
          <w:bCs/>
          <w:sz w:val="23"/>
          <w:szCs w:val="23"/>
        </w:rPr>
        <w:t xml:space="preserve"> Builders to remodel the third floor of the </w:t>
      </w:r>
      <w:proofErr w:type="spellStart"/>
      <w:r>
        <w:rPr>
          <w:b/>
          <w:bCs/>
          <w:sz w:val="23"/>
          <w:szCs w:val="23"/>
        </w:rPr>
        <w:t>Koret</w:t>
      </w:r>
      <w:proofErr w:type="spellEnd"/>
      <w:r>
        <w:rPr>
          <w:b/>
          <w:bCs/>
          <w:sz w:val="23"/>
          <w:szCs w:val="23"/>
        </w:rPr>
        <w:t xml:space="preserve"> Building for placement of the 64-slice CT Scanner </w:t>
      </w:r>
    </w:p>
    <w:p w:rsidR="00383804" w:rsidRDefault="00383804" w:rsidP="00383804">
      <w:pPr>
        <w:pStyle w:val="Default"/>
        <w:ind w:left="1140" w:hanging="36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i/>
          <w:iCs/>
          <w:sz w:val="23"/>
          <w:szCs w:val="23"/>
        </w:rPr>
        <w:t xml:space="preserve">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</w:p>
    <w:p w:rsidR="00383804" w:rsidRDefault="00383804" w:rsidP="00383804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Finance Committee Meeting of March 23, 2010 </w:t>
      </w:r>
      <w:r>
        <w:rPr>
          <w:rFonts w:ascii="Garamond" w:hAnsi="Garamond" w:cs="Garamond"/>
          <w:sz w:val="23"/>
          <w:szCs w:val="23"/>
        </w:rPr>
        <w:t xml:space="preserve">Page 3 of 3 </w:t>
      </w:r>
    </w:p>
    <w:p w:rsidR="00383804" w:rsidRDefault="00383804" w:rsidP="00383804">
      <w:pPr>
        <w:pStyle w:val="Default"/>
        <w:pageBreakBefore/>
        <w:rPr>
          <w:rFonts w:ascii="Garamond" w:hAnsi="Garamond" w:cs="Garamond"/>
          <w:sz w:val="23"/>
          <w:szCs w:val="23"/>
        </w:rPr>
      </w:pPr>
    </w:p>
    <w:p w:rsidR="00383804" w:rsidRDefault="00383804" w:rsidP="00383804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FOR INFORMATION ONLY – APPROVED CONTRACTS AND NEW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GRANTS WITHIN THE RANGE OF $150,000 TO $500,000 (See Attached </w:t>
      </w:r>
    </w:p>
    <w:p w:rsidR="00383804" w:rsidRDefault="00383804" w:rsidP="00383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Exhibit) </w:t>
      </w:r>
    </w:p>
    <w:p w:rsidR="00383804" w:rsidRDefault="00383804" w:rsidP="00383804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PUBLIC COMMENTS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BOARD OF TRUSTEES REMARKS </w:t>
      </w:r>
    </w:p>
    <w:p w:rsidR="00383804" w:rsidRDefault="00383804" w:rsidP="00383804">
      <w:pPr>
        <w:pStyle w:val="Default"/>
        <w:rPr>
          <w:sz w:val="23"/>
          <w:szCs w:val="23"/>
        </w:rPr>
      </w:pPr>
    </w:p>
    <w:p w:rsidR="00383804" w:rsidRDefault="00383804" w:rsidP="00383804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138" w:right="1501" w:bottom="923" w:left="15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4"/>
    <w:rsid w:val="00383804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380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380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Macintosh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2013-02-26T19:15:00Z</dcterms:created>
  <dcterms:modified xsi:type="dcterms:W3CDTF">2013-02-26T19:16:00Z</dcterms:modified>
</cp:coreProperties>
</file>